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5252"/>
      </w:tblGrid>
      <w:tr w:rsidR="00685744" w:rsidTr="000E275B">
        <w:tc>
          <w:tcPr>
            <w:tcW w:w="2106" w:type="dxa"/>
            <w:tcBorders>
              <w:top w:val="nil"/>
              <w:left w:val="nil"/>
              <w:right w:val="nil"/>
            </w:tcBorders>
          </w:tcPr>
          <w:p w:rsidR="00685744" w:rsidRDefault="00685744" w:rsidP="000E275B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71575" cy="838200"/>
                  <wp:effectExtent l="19050" t="19050" r="28575" b="19050"/>
                  <wp:docPr id="3" name="Imagen 1" descr="http://www.caminando-con-jesus.org/SANTOS/SANTA_CLARA_DE_ASIS_archivo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aminando-con-jesus.org/SANTOS/SANTA_CLARA_DE_ASIS_archivo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744" w:rsidRPr="00AD4941" w:rsidRDefault="00685744" w:rsidP="000E275B">
            <w:pPr>
              <w:spacing w:after="0" w:line="264" w:lineRule="auto"/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685744" w:rsidRPr="00220061" w:rsidRDefault="00685744" w:rsidP="000E275B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ESCUCHAR-COMPARTIR</w:t>
            </w:r>
          </w:p>
          <w:p w:rsidR="00685744" w:rsidRPr="00220061" w:rsidRDefault="00685744" w:rsidP="000E275B">
            <w:pPr>
              <w:spacing w:after="0" w:line="204" w:lineRule="auto"/>
              <w:jc w:val="right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UNA PALABRA</w:t>
            </w:r>
          </w:p>
          <w:p w:rsidR="00685744" w:rsidRPr="00220061" w:rsidRDefault="00685744" w:rsidP="000E275B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CON FRANCISCO Y CLARA DE ASÍS</w:t>
            </w:r>
          </w:p>
          <w:p w:rsidR="00685744" w:rsidRPr="00AD4941" w:rsidRDefault="00685744" w:rsidP="000E27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85744" w:rsidRDefault="00685744" w:rsidP="00685744"/>
    <w:p w:rsidR="00160C00" w:rsidRDefault="00160C00" w:rsidP="00160C00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Echar la propia suerte con los desheredados</w:t>
      </w:r>
    </w:p>
    <w:p w:rsidR="00160C00" w:rsidRPr="00160C00" w:rsidRDefault="00160C00" w:rsidP="00160C00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160C00">
        <w:rPr>
          <w:rFonts w:ascii="Verdana" w:hAnsi="Verdana"/>
          <w:i/>
          <w:sz w:val="24"/>
          <w:szCs w:val="24"/>
        </w:rPr>
        <w:t xml:space="preserve">“Empéñense todos los hermanos en seguir la humildad y pobreza de nuestro Señor Jesucristo y recuerden que ninguna otra cosa hemos de tener en el mundo entero, </w:t>
      </w:r>
    </w:p>
    <w:p w:rsid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160C00">
        <w:rPr>
          <w:rFonts w:ascii="Verdana" w:hAnsi="Verdana"/>
          <w:i/>
          <w:sz w:val="24"/>
          <w:szCs w:val="24"/>
        </w:rPr>
        <w:t>y</w:t>
      </w:r>
      <w:proofErr w:type="gramEnd"/>
      <w:r w:rsidRPr="00160C00">
        <w:rPr>
          <w:rFonts w:ascii="Verdana" w:hAnsi="Verdana"/>
          <w:i/>
          <w:sz w:val="24"/>
          <w:szCs w:val="24"/>
        </w:rPr>
        <w:t xml:space="preserve">, como dice el apóstol, teniendo qué comer </w:t>
      </w:r>
    </w:p>
    <w:p w:rsidR="00160C00" w:rsidRP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160C00">
        <w:rPr>
          <w:rFonts w:ascii="Verdana" w:hAnsi="Verdana"/>
          <w:i/>
          <w:sz w:val="24"/>
          <w:szCs w:val="24"/>
        </w:rPr>
        <w:t>y</w:t>
      </w:r>
      <w:proofErr w:type="gramEnd"/>
      <w:r w:rsidRPr="00160C00">
        <w:rPr>
          <w:rFonts w:ascii="Verdana" w:hAnsi="Verdana"/>
          <w:i/>
          <w:sz w:val="24"/>
          <w:szCs w:val="24"/>
        </w:rPr>
        <w:t xml:space="preserve"> con qué vestirnos, con esto estamos contentos.</w:t>
      </w:r>
    </w:p>
    <w:p w:rsid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160C00">
        <w:rPr>
          <w:rFonts w:ascii="Verdana" w:hAnsi="Verdana"/>
          <w:i/>
          <w:sz w:val="24"/>
          <w:szCs w:val="24"/>
        </w:rPr>
        <w:t xml:space="preserve">Y deben gozarse cuando conviven </w:t>
      </w:r>
    </w:p>
    <w:p w:rsid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160C00">
        <w:rPr>
          <w:rFonts w:ascii="Verdana" w:hAnsi="Verdana"/>
          <w:i/>
          <w:sz w:val="24"/>
          <w:szCs w:val="24"/>
        </w:rPr>
        <w:t>con</w:t>
      </w:r>
      <w:proofErr w:type="gramEnd"/>
      <w:r w:rsidRPr="00160C00">
        <w:rPr>
          <w:rFonts w:ascii="Verdana" w:hAnsi="Verdana"/>
          <w:i/>
          <w:sz w:val="24"/>
          <w:szCs w:val="24"/>
        </w:rPr>
        <w:t xml:space="preserve"> gente baja y despreciada, con los pobres y débiles, </w:t>
      </w:r>
    </w:p>
    <w:p w:rsid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160C00">
        <w:rPr>
          <w:rFonts w:ascii="Verdana" w:hAnsi="Verdana"/>
          <w:i/>
          <w:sz w:val="24"/>
          <w:szCs w:val="24"/>
        </w:rPr>
        <w:t>con</w:t>
      </w:r>
      <w:proofErr w:type="gramEnd"/>
      <w:r w:rsidRPr="00160C00">
        <w:rPr>
          <w:rFonts w:ascii="Verdana" w:hAnsi="Verdana"/>
          <w:i/>
          <w:sz w:val="24"/>
          <w:szCs w:val="24"/>
        </w:rPr>
        <w:t xml:space="preserve"> los enfermos y leprosos, </w:t>
      </w:r>
    </w:p>
    <w:p w:rsid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160C00">
        <w:rPr>
          <w:rFonts w:ascii="Verdana" w:hAnsi="Verdana"/>
          <w:i/>
          <w:sz w:val="24"/>
          <w:szCs w:val="24"/>
        </w:rPr>
        <w:t>y</w:t>
      </w:r>
      <w:proofErr w:type="gramEnd"/>
      <w:r w:rsidRPr="00160C00">
        <w:rPr>
          <w:rFonts w:ascii="Verdana" w:hAnsi="Verdana"/>
          <w:i/>
          <w:sz w:val="24"/>
          <w:szCs w:val="24"/>
        </w:rPr>
        <w:t xml:space="preserve"> con los mendigos que están a la vera del camino”</w:t>
      </w:r>
      <w:r>
        <w:rPr>
          <w:rFonts w:ascii="Verdana" w:hAnsi="Verdana"/>
          <w:i/>
          <w:sz w:val="24"/>
          <w:szCs w:val="24"/>
        </w:rPr>
        <w:t>.</w:t>
      </w:r>
    </w:p>
    <w:p w:rsidR="00160C00" w:rsidRPr="00160C00" w:rsidRDefault="00160C00" w:rsidP="00160C00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</w:p>
    <w:p w:rsidR="00160C00" w:rsidRPr="00160C00" w:rsidRDefault="00160C00" w:rsidP="00160C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(Regla no </w:t>
      </w:r>
      <w:proofErr w:type="spellStart"/>
      <w:r>
        <w:rPr>
          <w:rFonts w:ascii="Verdana" w:hAnsi="Verdana"/>
          <w:sz w:val="20"/>
          <w:szCs w:val="20"/>
        </w:rPr>
        <w:t>Bulada</w:t>
      </w:r>
      <w:proofErr w:type="spellEnd"/>
      <w:r>
        <w:rPr>
          <w:rFonts w:ascii="Verdana" w:hAnsi="Verdana"/>
          <w:sz w:val="20"/>
          <w:szCs w:val="20"/>
        </w:rPr>
        <w:t xml:space="preserve"> 9,1-2)</w:t>
      </w:r>
    </w:p>
    <w:p w:rsidR="00160C00" w:rsidRPr="0031236D" w:rsidRDefault="00160C00" w:rsidP="00160C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236D" w:rsidRDefault="00160C00" w:rsidP="00160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 y querer ser hermanos menores conlleva la conciencia y la voluntad de echar la suerte de la propia vida con los desheredados sociales. Ser hermano menor fue para Francisco y los suyos un desclasamiento social, un cambio de condición social</w:t>
      </w:r>
      <w:r w:rsidR="0031236D">
        <w:rPr>
          <w:rFonts w:ascii="Verdana" w:hAnsi="Verdana"/>
          <w:sz w:val="24"/>
          <w:szCs w:val="24"/>
        </w:rPr>
        <w:t>, un pertenecer y andar cerca de la gente de baja condición. Y más en aquél mundo medieval tan marcado por el “ordo” al cual cada uno pertenecía (nobleza-clero-burguesía). Seguir la humildad y la pobreza de Jesús trajo, para ellos, consecuencias y opciones bien concretas.</w:t>
      </w:r>
    </w:p>
    <w:p w:rsidR="0031236D" w:rsidRDefault="0031236D" w:rsidP="00160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0C00" w:rsidRDefault="0031236D" w:rsidP="00160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Quisieron sujetarse a ese lugar marginal en la sociedad y en la iglesia. El vender los bienes y darlos a los pobres era el paso necesario que, realmente, a uno le llevaba hacia abajo. Porque </w:t>
      </w:r>
      <w:r w:rsidR="00A86226">
        <w:rPr>
          <w:rFonts w:ascii="Verdana" w:hAnsi="Verdana"/>
          <w:sz w:val="24"/>
          <w:szCs w:val="24"/>
        </w:rPr>
        <w:t xml:space="preserve">el grupo de los hermanos no le daba nada y </w:t>
      </w:r>
      <w:r w:rsidR="00A86226">
        <w:rPr>
          <w:rFonts w:ascii="Verdana" w:hAnsi="Verdana"/>
          <w:sz w:val="24"/>
          <w:szCs w:val="24"/>
        </w:rPr>
        <w:lastRenderedPageBreak/>
        <w:t xml:space="preserve">sus horizontes eran </w:t>
      </w:r>
      <w:r w:rsidR="00A86226" w:rsidRPr="00A86226">
        <w:rPr>
          <w:rFonts w:ascii="Verdana" w:hAnsi="Verdana"/>
          <w:i/>
          <w:sz w:val="24"/>
          <w:szCs w:val="24"/>
        </w:rPr>
        <w:t>“estar contentos teniendo qué comer y con qué vestirnos”</w:t>
      </w:r>
      <w:r w:rsidR="00A86226">
        <w:rPr>
          <w:rFonts w:ascii="Verdana" w:hAnsi="Verdana"/>
          <w:sz w:val="24"/>
          <w:szCs w:val="24"/>
        </w:rPr>
        <w:t xml:space="preserve">. </w:t>
      </w:r>
    </w:p>
    <w:p w:rsidR="00160C00" w:rsidRDefault="00160C00" w:rsidP="00160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6226" w:rsidRDefault="00A86226" w:rsidP="00160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leprosos y enfermos, los mendigos, los pobres y débiles, la gente baja y despreciada, son las personas excluidas de aquella época, considerados como no ciudadanos, no sujetos de derechos. Los </w:t>
      </w:r>
      <w:r w:rsidR="001D792D">
        <w:rPr>
          <w:rFonts w:ascii="Verdana" w:hAnsi="Verdana"/>
          <w:sz w:val="24"/>
          <w:szCs w:val="24"/>
        </w:rPr>
        <w:t xml:space="preserve">primeros </w:t>
      </w:r>
      <w:r>
        <w:rPr>
          <w:rFonts w:ascii="Verdana" w:hAnsi="Verdana"/>
          <w:sz w:val="24"/>
          <w:szCs w:val="24"/>
        </w:rPr>
        <w:t>hermanos echaron su suerte con la suya</w:t>
      </w:r>
      <w:r w:rsidR="001D792D">
        <w:rPr>
          <w:rFonts w:ascii="Verdana" w:hAnsi="Verdana"/>
          <w:sz w:val="24"/>
          <w:szCs w:val="24"/>
        </w:rPr>
        <w:t>: vivían entre ellos, asumiendo sus condiciones socio-económicas, pequeñas obras de solidaridad y cuidados con los enfermos y leprosos (pedían limosna para ellos y, en ese caso, podían aceptar dinero).</w:t>
      </w:r>
    </w:p>
    <w:p w:rsidR="0031236D" w:rsidRDefault="0031236D" w:rsidP="00160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236D" w:rsidRPr="0031236D" w:rsidRDefault="0031236D" w:rsidP="0031236D">
      <w:pPr>
        <w:tabs>
          <w:tab w:val="left" w:pos="-720"/>
        </w:tabs>
        <w:spacing w:after="0" w:line="240" w:lineRule="auto"/>
        <w:jc w:val="both"/>
        <w:rPr>
          <w:rFonts w:ascii="Verdana" w:hAnsi="Verdana"/>
          <w:spacing w:val="-3"/>
          <w:sz w:val="24"/>
          <w:szCs w:val="24"/>
          <w:lang w:val="es-ES_tradnl"/>
        </w:rPr>
      </w:pPr>
      <w:r w:rsidRPr="0031236D">
        <w:rPr>
          <w:rFonts w:ascii="Verdana" w:hAnsi="Verdana"/>
          <w:spacing w:val="-3"/>
          <w:sz w:val="24"/>
          <w:szCs w:val="24"/>
          <w:lang w:val="es-ES_tradnl"/>
        </w:rPr>
        <w:t xml:space="preserve">En el 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 xml:space="preserve">situarse de esta manera y 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>pertenecer a esta clase social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>,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 xml:space="preserve"> hay una opción por la fraternidad, por un nuevo tipo de relaciones hu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>manas: pobreza y corazón.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 xml:space="preserve"> Entre las "persona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>s pobres” vivir como reales "hermanos meno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>res" para rehabilit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 xml:space="preserve">ar 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>su dignid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>ad personal desde una intencionada cercanía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>. Es crear una vida en la que no haya límite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 xml:space="preserve"> alguno para el encuentro con la otra persona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>, porque to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softHyphen/>
        <w:t>das las personas som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>os hermanos e iguales siempre. De alguna forma, e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>n su opción social hay una protesta contra la injusticia que la sociedad practica al negar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>les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 xml:space="preserve"> </w:t>
      </w:r>
      <w:r w:rsidR="001D792D">
        <w:rPr>
          <w:rFonts w:ascii="Verdana" w:hAnsi="Verdana"/>
          <w:spacing w:val="-3"/>
          <w:sz w:val="24"/>
          <w:szCs w:val="24"/>
          <w:lang w:val="es-ES_tradnl"/>
        </w:rPr>
        <w:t xml:space="preserve">su </w:t>
      </w:r>
      <w:r w:rsidRPr="0031236D">
        <w:rPr>
          <w:rFonts w:ascii="Verdana" w:hAnsi="Verdana"/>
          <w:spacing w:val="-3"/>
          <w:sz w:val="24"/>
          <w:szCs w:val="24"/>
          <w:lang w:val="es-ES_tradnl"/>
        </w:rPr>
        <w:t>dignidad e igualdad, a la vez que un proclamar esa fraternidad radical.</w:t>
      </w:r>
    </w:p>
    <w:p w:rsidR="0031236D" w:rsidRDefault="0031236D" w:rsidP="00160C00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1D792D" w:rsidRPr="001D792D" w:rsidRDefault="006972B5" w:rsidP="00160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vida nunca es neutra. Francisco nos invita a echar la propia suerte con los desheredados. Lo peor podría ser cualquier forma de indiferencia. Con palabras nuestras, nos invita a u</w:t>
      </w:r>
      <w:r w:rsidR="001D792D">
        <w:rPr>
          <w:rFonts w:ascii="Verdana" w:hAnsi="Verdana"/>
          <w:sz w:val="24"/>
          <w:szCs w:val="24"/>
        </w:rPr>
        <w:t>na opción preferencial por</w:t>
      </w:r>
      <w:r>
        <w:rPr>
          <w:rFonts w:ascii="Verdana" w:hAnsi="Verdana"/>
          <w:sz w:val="24"/>
          <w:szCs w:val="24"/>
        </w:rPr>
        <w:t xml:space="preserve"> los pobres y, desde ahí, ese lugar y ese foco, estar abiertos a todos.</w:t>
      </w:r>
      <w:r w:rsidR="008C1E8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Salvemos la</w:t>
      </w:r>
      <w:r w:rsidR="001D79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hospitalidad y, de alguna forma, manchémonos las manos</w:t>
      </w:r>
      <w:r w:rsidR="001D79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1D792D">
        <w:rPr>
          <w:rFonts w:ascii="Verdana" w:hAnsi="Verdana"/>
          <w:sz w:val="24"/>
          <w:szCs w:val="24"/>
        </w:rPr>
        <w:t>o la imagen o el buen nombre</w:t>
      </w:r>
      <w:r>
        <w:rPr>
          <w:rFonts w:ascii="Verdana" w:hAnsi="Verdana"/>
          <w:sz w:val="24"/>
          <w:szCs w:val="24"/>
        </w:rPr>
        <w:t>)</w:t>
      </w:r>
      <w:r w:rsidR="001D792D">
        <w:rPr>
          <w:rFonts w:ascii="Verdana" w:hAnsi="Verdana"/>
          <w:sz w:val="24"/>
          <w:szCs w:val="24"/>
        </w:rPr>
        <w:t>, acercando la vida hacia las personas más señaladas, estigmatizadas</w:t>
      </w:r>
      <w:r>
        <w:rPr>
          <w:rFonts w:ascii="Verdana" w:hAnsi="Verdana"/>
          <w:sz w:val="24"/>
          <w:szCs w:val="24"/>
        </w:rPr>
        <w:t>, excluidas, indefensas, consideradas “sobrantes”. Incluyamos, no excluyamos.</w:t>
      </w:r>
    </w:p>
    <w:p w:rsidR="00EF3229" w:rsidRPr="00160C00" w:rsidRDefault="008C1E87" w:rsidP="008C1E87">
      <w:pPr>
        <w:spacing w:after="0" w:line="240" w:lineRule="auto"/>
        <w:jc w:val="right"/>
        <w:rPr>
          <w:rFonts w:ascii="Verdana" w:hAnsi="Verdana"/>
          <w:spacing w:val="-3"/>
          <w:sz w:val="24"/>
          <w:szCs w:val="24"/>
          <w:lang w:val="es-ES_tradnl"/>
        </w:rPr>
      </w:pPr>
      <w:r>
        <w:rPr>
          <w:i/>
          <w:sz w:val="24"/>
          <w:szCs w:val="24"/>
        </w:rPr>
        <w:t>H</w:t>
      </w:r>
      <w:r w:rsidR="00685744" w:rsidRPr="00AD4941">
        <w:rPr>
          <w:i/>
          <w:sz w:val="24"/>
          <w:szCs w:val="24"/>
        </w:rPr>
        <w:t>no. Jesús Torrecilla</w:t>
      </w:r>
    </w:p>
    <w:sectPr w:rsidR="00EF3229" w:rsidRPr="00160C00" w:rsidSect="00C25043">
      <w:pgSz w:w="16838" w:h="11906" w:orient="landscape"/>
      <w:pgMar w:top="680" w:right="680" w:bottom="680" w:left="680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85744"/>
    <w:rsid w:val="00160C00"/>
    <w:rsid w:val="001D792D"/>
    <w:rsid w:val="0031236D"/>
    <w:rsid w:val="00685744"/>
    <w:rsid w:val="006972B5"/>
    <w:rsid w:val="008C1E87"/>
    <w:rsid w:val="00A86226"/>
    <w:rsid w:val="00E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5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2013-10-04T15:36:00Z</dcterms:created>
  <dcterms:modified xsi:type="dcterms:W3CDTF">2013-10-04T17:15:00Z</dcterms:modified>
</cp:coreProperties>
</file>